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7266F" w14:textId="77777777" w:rsidR="008F408C" w:rsidRPr="008F408C" w:rsidRDefault="008F408C" w:rsidP="008F408C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9837052"/>
      <w:bookmarkEnd w:id="0"/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Отчет</w:t>
      </w:r>
    </w:p>
    <w:p w14:paraId="2AFA61D8" w14:textId="77777777" w:rsidR="008F408C" w:rsidRPr="008F408C" w:rsidRDefault="008F408C" w:rsidP="008F408C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Отдела по </w:t>
      </w:r>
      <w:proofErr w:type="spellStart"/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фармаконадзору</w:t>
      </w:r>
      <w:proofErr w:type="spellEnd"/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и рекламе</w:t>
      </w:r>
    </w:p>
    <w:p w14:paraId="62885610" w14:textId="77777777" w:rsidR="008F408C" w:rsidRPr="008F408C" w:rsidRDefault="008F408C" w:rsidP="008F408C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Департамента лекарственных средств и медицинских изделий при Министерстве здравоохранения Кыргызской Республики </w:t>
      </w:r>
    </w:p>
    <w:p w14:paraId="235A7F4D" w14:textId="6CF61B24" w:rsidR="008F408C" w:rsidRPr="008F408C" w:rsidRDefault="008F408C" w:rsidP="008F408C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с 01.01.2025 по 3</w:t>
      </w:r>
      <w:r w:rsidR="00E82B9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  <w:r w:rsidR="00E82B9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 w:rsidR="00FE4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Pr="008F40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2025 года</w:t>
      </w:r>
    </w:p>
    <w:p w14:paraId="61D27E7E" w14:textId="77777777" w:rsidR="008F408C" w:rsidRPr="008F408C" w:rsidRDefault="008F408C" w:rsidP="008F408C">
      <w:pPr>
        <w:spacing w:after="200" w:line="276" w:lineRule="auto"/>
      </w:pPr>
    </w:p>
    <w:p w14:paraId="634B9996" w14:textId="61BE6640" w:rsidR="008F408C" w:rsidRPr="008F408C" w:rsidRDefault="008F408C" w:rsidP="008F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За период с 01.01.2025г. по </w:t>
      </w:r>
      <w:r w:rsidRPr="008F408C">
        <w:rPr>
          <w:rFonts w:ascii="Times New Roman" w:eastAsia="Calibri" w:hAnsi="Times New Roman" w:cs="Times New Roman"/>
          <w:sz w:val="28"/>
          <w:szCs w:val="28"/>
          <w:lang w:val="ky-KG"/>
        </w:rPr>
        <w:t>3</w:t>
      </w:r>
      <w:r w:rsidR="00E82B9E">
        <w:rPr>
          <w:rFonts w:ascii="Times New Roman" w:eastAsia="Calibri" w:hAnsi="Times New Roman" w:cs="Times New Roman"/>
          <w:sz w:val="28"/>
          <w:szCs w:val="28"/>
          <w:lang w:val="ky-KG"/>
        </w:rPr>
        <w:t>1</w:t>
      </w:r>
      <w:r w:rsidRPr="008F408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82B9E">
        <w:rPr>
          <w:rFonts w:ascii="Times New Roman" w:eastAsia="Calibri" w:hAnsi="Times New Roman" w:cs="Times New Roman"/>
          <w:sz w:val="28"/>
          <w:szCs w:val="28"/>
        </w:rPr>
        <w:t>2</w:t>
      </w:r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.2025г. </w:t>
      </w:r>
      <w:r w:rsidRPr="008F408C">
        <w:rPr>
          <w:rFonts w:ascii="Times New Roman" w:hAnsi="Times New Roman" w:cs="Times New Roman"/>
          <w:sz w:val="28"/>
          <w:szCs w:val="28"/>
        </w:rPr>
        <w:t xml:space="preserve">в отдел фармаконадзора и рекламы ДЛС и МИ </w:t>
      </w:r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A2000">
        <w:rPr>
          <w:rFonts w:ascii="Times New Roman" w:eastAsia="Calibri" w:hAnsi="Times New Roman" w:cs="Times New Roman"/>
          <w:sz w:val="28"/>
          <w:szCs w:val="28"/>
        </w:rPr>
        <w:t>550</w:t>
      </w:r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8F40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нежелательных реакциях лекарственных препаратов</w:t>
      </w:r>
      <w:r w:rsidRPr="008F408C">
        <w:rPr>
          <w:rFonts w:ascii="Times New Roman" w:hAnsi="Times New Roman" w:cs="Times New Roman"/>
          <w:sz w:val="28"/>
          <w:szCs w:val="28"/>
        </w:rPr>
        <w:t>. Проведена валидация данных сообщений на наличие минимальной требуемой информации, проведена последующая работа с неполными сообщениями, для получения дополнительной подробной информации, являющейся важной для научной оценки случаев развития нежелательных реакций.</w:t>
      </w:r>
    </w:p>
    <w:p w14:paraId="66500C52" w14:textId="1C776FBF" w:rsidR="008F408C" w:rsidRPr="008F408C" w:rsidRDefault="008F408C" w:rsidP="008F4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A2000">
        <w:rPr>
          <w:rFonts w:ascii="Times New Roman" w:eastAsia="Calibri" w:hAnsi="Times New Roman" w:cs="Times New Roman"/>
          <w:sz w:val="28"/>
          <w:szCs w:val="28"/>
        </w:rPr>
        <w:t>550</w:t>
      </w:r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8C">
        <w:rPr>
          <w:rFonts w:ascii="Times New Roman" w:eastAsia="Calibri" w:hAnsi="Times New Roman" w:cs="Times New Roman"/>
          <w:sz w:val="28"/>
          <w:szCs w:val="28"/>
        </w:rPr>
        <w:t>валидированных</w:t>
      </w:r>
      <w:proofErr w:type="spellEnd"/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 сообщений были отправлены в международную базу через программу </w:t>
      </w:r>
      <w:proofErr w:type="spellStart"/>
      <w:r w:rsidRPr="008F408C">
        <w:rPr>
          <w:rFonts w:ascii="Times New Roman" w:eastAsia="Calibri" w:hAnsi="Times New Roman" w:cs="Times New Roman"/>
          <w:sz w:val="28"/>
          <w:szCs w:val="28"/>
        </w:rPr>
        <w:t>Vigiflow</w:t>
      </w:r>
      <w:proofErr w:type="spellEnd"/>
      <w:r w:rsidRPr="008F408C">
        <w:rPr>
          <w:rFonts w:ascii="Times New Roman" w:eastAsia="Calibri" w:hAnsi="Times New Roman" w:cs="Times New Roman"/>
          <w:sz w:val="28"/>
          <w:szCs w:val="28"/>
        </w:rPr>
        <w:t xml:space="preserve"> в Упсала Мониторинг Центр </w:t>
      </w:r>
      <w:proofErr w:type="spellStart"/>
      <w:r w:rsidRPr="008F408C">
        <w:rPr>
          <w:rFonts w:ascii="Times New Roman" w:eastAsia="Calibri" w:hAnsi="Times New Roman" w:cs="Times New Roman"/>
          <w:sz w:val="28"/>
          <w:szCs w:val="28"/>
        </w:rPr>
        <w:t>VigiBase</w:t>
      </w:r>
      <w:proofErr w:type="spellEnd"/>
      <w:r w:rsidRPr="008F40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F59728" w14:textId="568010E0" w:rsidR="008F408C" w:rsidRPr="00BD263A" w:rsidRDefault="008F408C" w:rsidP="008F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F408C">
        <w:rPr>
          <w:rFonts w:ascii="Times New Roman" w:hAnsi="Times New Roman" w:cs="Times New Roman"/>
          <w:sz w:val="28"/>
          <w:szCs w:val="28"/>
        </w:rPr>
        <w:t xml:space="preserve">          Были получены сообщения и проведена ПСС </w:t>
      </w:r>
      <w:r w:rsidR="00DA2000">
        <w:rPr>
          <w:rFonts w:ascii="Times New Roman" w:hAnsi="Times New Roman" w:cs="Times New Roman"/>
          <w:sz w:val="28"/>
          <w:szCs w:val="28"/>
        </w:rPr>
        <w:t>210</w:t>
      </w:r>
      <w:r w:rsidRPr="008F408C">
        <w:rPr>
          <w:rFonts w:ascii="Times New Roman" w:hAnsi="Times New Roman" w:cs="Times New Roman"/>
          <w:sz w:val="28"/>
          <w:szCs w:val="28"/>
        </w:rPr>
        <w:t xml:space="preserve"> случая серьезной нежелательных реакции</w:t>
      </w:r>
      <w:r w:rsidRPr="008F40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D263A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="00BD129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BD263A">
        <w:rPr>
          <w:rFonts w:ascii="Times New Roman" w:hAnsi="Times New Roman" w:cs="Times New Roman"/>
          <w:sz w:val="28"/>
          <w:szCs w:val="28"/>
          <w:lang w:val="ky-KG"/>
        </w:rPr>
        <w:t xml:space="preserve"> случая с летальным исходом</w:t>
      </w:r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14:paraId="13B4AC8E" w14:textId="6DABE6D4" w:rsidR="008F408C" w:rsidRPr="003628B1" w:rsidRDefault="00947015" w:rsidP="007F72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13.01.2025 года</w:t>
      </w:r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 в адрес Департамента лекарственных средств и медицинских изделий поступило сообщение о летальном исходе у пациента </w:t>
      </w: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З.Х., 40 лет</w:t>
      </w:r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, на фоне применения лекарственного препарата </w:t>
      </w: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«Протуб-2»</w:t>
      </w:r>
      <w:r w:rsidRPr="00BD263A">
        <w:rPr>
          <w:rFonts w:ascii="Times New Roman" w:eastAsia="Calibri" w:hAnsi="Times New Roman" w:cs="Times New Roman"/>
          <w:sz w:val="28"/>
          <w:szCs w:val="28"/>
        </w:rPr>
        <w:t>.</w:t>
      </w:r>
      <w:r w:rsidRPr="00BD263A">
        <w:rPr>
          <w:rFonts w:ascii="Times New Roman" w:eastAsia="Calibri" w:hAnsi="Times New Roman" w:cs="Times New Roman"/>
          <w:sz w:val="28"/>
          <w:szCs w:val="28"/>
        </w:rPr>
        <w:br/>
      </w: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07.01.2025 года</w:t>
      </w:r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 пациент скончался в стационаре; причина смерти — </w:t>
      </w:r>
      <w:r w:rsidRPr="007F723F">
        <w:rPr>
          <w:rFonts w:ascii="Times New Roman" w:eastAsia="Calibri" w:hAnsi="Times New Roman" w:cs="Times New Roman"/>
          <w:bCs/>
          <w:sz w:val="28"/>
          <w:szCs w:val="28"/>
        </w:rPr>
        <w:t>печёночная</w:t>
      </w:r>
      <w:r w:rsidR="007F723F" w:rsidRPr="007F723F">
        <w:rPr>
          <w:rFonts w:ascii="Times New Roman" w:eastAsia="Calibri" w:hAnsi="Times New Roman" w:cs="Times New Roman"/>
          <w:bCs/>
          <w:sz w:val="28"/>
          <w:szCs w:val="28"/>
        </w:rPr>
        <w:t xml:space="preserve"> недостаточность</w:t>
      </w:r>
      <w:r w:rsidR="007F723F" w:rsidRPr="00BD263A">
        <w:rPr>
          <w:rFonts w:ascii="Times New Roman" w:eastAsia="Calibri" w:hAnsi="Times New Roman" w:cs="Times New Roman"/>
          <w:sz w:val="28"/>
          <w:szCs w:val="28"/>
        </w:rPr>
        <w:t>.</w:t>
      </w:r>
      <w:r w:rsidR="007F723F" w:rsidRPr="00BD263A">
        <w:rPr>
          <w:rFonts w:ascii="Times New Roman" w:eastAsia="Calibri" w:hAnsi="Times New Roman" w:cs="Times New Roman"/>
          <w:sz w:val="28"/>
          <w:szCs w:val="28"/>
        </w:rPr>
        <w:br/>
        <w:t xml:space="preserve">В анамнезе — сопутствующие заболевания: </w:t>
      </w:r>
      <w:r w:rsidR="007F723F"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хронический вирусный гепатит B и алкогольный цирроз печени</w:t>
      </w:r>
      <w:r w:rsidR="007F723F" w:rsidRPr="00BD263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723F" w:rsidRPr="00947015">
        <w:rPr>
          <w:rFonts w:ascii="Times New Roman" w:eastAsia="Calibri" w:hAnsi="Times New Roman" w:cs="Times New Roman"/>
          <w:sz w:val="28"/>
          <w:szCs w:val="28"/>
        </w:rPr>
        <w:t xml:space="preserve">Оценка причинно-следственной связи между лекарственным препаратом и нежелательной реакцией была проведена лечащим врачом и расценена как </w:t>
      </w:r>
      <w:r w:rsidR="007F723F" w:rsidRPr="007F723F">
        <w:rPr>
          <w:rFonts w:ascii="Times New Roman" w:eastAsia="Calibri" w:hAnsi="Times New Roman" w:cs="Times New Roman"/>
          <w:i/>
          <w:sz w:val="28"/>
          <w:szCs w:val="28"/>
        </w:rPr>
        <w:t>сомнительная</w:t>
      </w:r>
      <w:r w:rsidR="007F723F" w:rsidRPr="009470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4C80F5" w14:textId="735F1EF2" w:rsidR="008F408C" w:rsidRPr="007F723F" w:rsidRDefault="008F408C" w:rsidP="008F408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y-KG"/>
        </w:rPr>
      </w:pPr>
      <w:r w:rsidRPr="007F723F">
        <w:rPr>
          <w:rFonts w:ascii="Times New Roman" w:eastAsia="Calibri" w:hAnsi="Times New Roman" w:cs="Times New Roman"/>
          <w:sz w:val="28"/>
          <w:szCs w:val="28"/>
        </w:rPr>
        <w:t>02.0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>4</w:t>
      </w:r>
      <w:r w:rsidRPr="007F723F">
        <w:rPr>
          <w:rFonts w:ascii="Times New Roman" w:eastAsia="Calibri" w:hAnsi="Times New Roman" w:cs="Times New Roman"/>
          <w:sz w:val="28"/>
          <w:szCs w:val="28"/>
        </w:rPr>
        <w:t>.202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>5</w:t>
      </w:r>
      <w:r w:rsidRPr="007F723F">
        <w:rPr>
          <w:rFonts w:ascii="Times New Roman" w:eastAsia="Calibri" w:hAnsi="Times New Roman" w:cs="Times New Roman"/>
          <w:sz w:val="28"/>
          <w:szCs w:val="28"/>
        </w:rPr>
        <w:t xml:space="preserve"> года в адрес ДЛС и МИ поступило сообщение о летальном исходе у 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>женщины</w:t>
      </w:r>
      <w:r w:rsidRPr="007F72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>Ж.Ч</w:t>
      </w:r>
      <w:r w:rsidRPr="007F723F">
        <w:rPr>
          <w:rFonts w:ascii="Times New Roman" w:eastAsia="Calibri" w:hAnsi="Times New Roman" w:cs="Times New Roman"/>
          <w:sz w:val="28"/>
          <w:szCs w:val="28"/>
        </w:rPr>
        <w:t>., (3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>7 лет</w:t>
      </w:r>
      <w:r w:rsidRPr="007F723F">
        <w:rPr>
          <w:rFonts w:ascii="Times New Roman" w:eastAsia="Calibri" w:hAnsi="Times New Roman" w:cs="Times New Roman"/>
          <w:sz w:val="28"/>
          <w:szCs w:val="28"/>
        </w:rPr>
        <w:t>)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на лекарственные препараты: </w:t>
      </w:r>
      <w:r w:rsidRPr="007F723F">
        <w:rPr>
          <w:rFonts w:ascii="Times New Roman" w:eastAsia="Calibri" w:hAnsi="Times New Roman" w:cs="Times New Roman"/>
          <w:b/>
          <w:sz w:val="28"/>
          <w:szCs w:val="28"/>
          <w:lang w:val="ky-KG"/>
        </w:rPr>
        <w:t>цефтриаксон-АКОС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Pr="007F723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и раствор натрия хлорида</w:t>
      </w:r>
      <w:r w:rsidRPr="007F723F">
        <w:rPr>
          <w:rFonts w:ascii="Times New Roman" w:eastAsia="Calibri" w:hAnsi="Times New Roman" w:cs="Times New Roman"/>
          <w:sz w:val="28"/>
          <w:szCs w:val="28"/>
        </w:rPr>
        <w:t>.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947015"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>Сс слов врача скорой помощи с</w:t>
      </w:r>
      <w:r w:rsidRPr="007F723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оседкой была сделана внутрикожная проба, после чего развился анафилактический шок. ЛП были приобретены давно и находились дома у пациентки. Вызвали скорую помощь, но пациентка скончалась до приезда скорой помощи. </w:t>
      </w:r>
      <w:r w:rsidRPr="007F723F">
        <w:rPr>
          <w:rFonts w:ascii="Times New Roman" w:eastAsia="Calibri" w:hAnsi="Times New Roman" w:cs="Times New Roman"/>
          <w:i/>
          <w:sz w:val="28"/>
          <w:szCs w:val="28"/>
          <w:lang w:val="ky-KG"/>
        </w:rPr>
        <w:t>Причинно-следственная связь ЛП/НР – достоверная</w:t>
      </w:r>
      <w:r w:rsidR="0026559E" w:rsidRPr="007F723F">
        <w:rPr>
          <w:rFonts w:ascii="Times New Roman" w:eastAsia="Calibri" w:hAnsi="Times New Roman" w:cs="Times New Roman"/>
          <w:i/>
          <w:sz w:val="28"/>
          <w:szCs w:val="28"/>
          <w:lang w:val="ky-KG"/>
        </w:rPr>
        <w:t>.</w:t>
      </w:r>
    </w:p>
    <w:p w14:paraId="1187FD5B" w14:textId="77777777" w:rsidR="00BD263A" w:rsidRDefault="00947015" w:rsidP="00BD12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26.06.2025 года</w:t>
      </w:r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 в адрес Департамента лекарственных средств и медицинских изделий поступило сообщение от Национального центра фтизиатрии о летальном исходе у пациентки Б.З., </w:t>
      </w: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66 лет</w:t>
      </w:r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, на фоне применения лекарственного препарата </w:t>
      </w: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«Протуб-2»</w:t>
      </w:r>
      <w:r w:rsidRPr="00BD263A">
        <w:rPr>
          <w:rFonts w:ascii="Times New Roman" w:eastAsia="Calibri" w:hAnsi="Times New Roman" w:cs="Times New Roman"/>
          <w:sz w:val="28"/>
          <w:szCs w:val="28"/>
        </w:rPr>
        <w:t>.</w:t>
      </w:r>
      <w:r w:rsidRPr="00BD263A">
        <w:rPr>
          <w:rFonts w:ascii="Times New Roman" w:eastAsia="Calibri" w:hAnsi="Times New Roman" w:cs="Times New Roman"/>
          <w:sz w:val="28"/>
          <w:szCs w:val="28"/>
        </w:rPr>
        <w:br/>
        <w:t xml:space="preserve">Причина смерти — </w:t>
      </w:r>
      <w:r w:rsidRPr="00BD263A">
        <w:rPr>
          <w:rFonts w:ascii="Times New Roman" w:eastAsia="Calibri" w:hAnsi="Times New Roman" w:cs="Times New Roman"/>
          <w:b/>
          <w:bCs/>
          <w:sz w:val="28"/>
          <w:szCs w:val="28"/>
        </w:rPr>
        <w:t>лёгочно-сердечная недостаточность</w:t>
      </w:r>
      <w:r w:rsidRPr="00BD263A">
        <w:rPr>
          <w:rFonts w:ascii="Times New Roman" w:eastAsia="Calibri" w:hAnsi="Times New Roman" w:cs="Times New Roman"/>
          <w:sz w:val="28"/>
          <w:szCs w:val="28"/>
        </w:rPr>
        <w:t>.</w:t>
      </w:r>
      <w:r w:rsidRPr="00BD263A">
        <w:rPr>
          <w:rFonts w:ascii="Times New Roman" w:eastAsia="Calibri" w:hAnsi="Times New Roman" w:cs="Times New Roman"/>
          <w:sz w:val="28"/>
          <w:szCs w:val="28"/>
        </w:rPr>
        <w:br/>
      </w:r>
      <w:bookmarkStart w:id="2" w:name="_Hlk219195789"/>
      <w:r w:rsidRPr="00BD263A">
        <w:rPr>
          <w:rFonts w:ascii="Times New Roman" w:eastAsia="Calibri" w:hAnsi="Times New Roman" w:cs="Times New Roman"/>
          <w:sz w:val="28"/>
          <w:szCs w:val="28"/>
        </w:rPr>
        <w:t xml:space="preserve">Оценка причинно-следственной связи между лекарственным препаратом и нежелательной реакцией была проведена лечащим врачом и расценена как </w:t>
      </w:r>
      <w:r w:rsidRPr="007F723F">
        <w:rPr>
          <w:rFonts w:ascii="Times New Roman" w:eastAsia="Calibri" w:hAnsi="Times New Roman" w:cs="Times New Roman"/>
          <w:bCs/>
          <w:i/>
          <w:sz w:val="28"/>
          <w:szCs w:val="28"/>
        </w:rPr>
        <w:t>сомнительная</w:t>
      </w:r>
      <w:r w:rsidRPr="00BD263A">
        <w:rPr>
          <w:rFonts w:ascii="Times New Roman" w:eastAsia="Calibri" w:hAnsi="Times New Roman" w:cs="Times New Roman"/>
          <w:sz w:val="28"/>
          <w:szCs w:val="28"/>
        </w:rPr>
        <w:t>.</w:t>
      </w:r>
      <w:bookmarkEnd w:id="2"/>
    </w:p>
    <w:p w14:paraId="0CE75A20" w14:textId="77777777" w:rsidR="007F723F" w:rsidRDefault="007F723F" w:rsidP="008F4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835CF1" w14:textId="37A8C9C6" w:rsidR="000D5B6E" w:rsidRPr="007F723F" w:rsidRDefault="000D5B6E" w:rsidP="000D5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7F723F">
        <w:rPr>
          <w:rFonts w:ascii="Times New Roman" w:eastAsia="Calibri" w:hAnsi="Times New Roman" w:cs="Times New Roman"/>
          <w:b/>
          <w:sz w:val="28"/>
          <w:szCs w:val="28"/>
          <w:lang w:val="ky-KG"/>
        </w:rPr>
        <w:t>Существующие проблемы</w:t>
      </w:r>
    </w:p>
    <w:p w14:paraId="04037202" w14:textId="77BFA3BA" w:rsidR="008F408C" w:rsidRDefault="000D5B6E" w:rsidP="007F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7F723F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="007F723F" w:rsidRPr="007F723F">
        <w:rPr>
          <w:rFonts w:ascii="Times New Roman" w:hAnsi="Times New Roman" w:cs="Times New Roman"/>
          <w:sz w:val="28"/>
          <w:szCs w:val="28"/>
        </w:rPr>
        <w:t xml:space="preserve">На сегодняшний день сообщения о нежелательных реакциях (НР) от НЦФ поступают несвоевременно в связи с тем, что в НЦФ внедрена одна </w:t>
      </w:r>
      <w:r w:rsidR="007F723F" w:rsidRPr="007F723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система, тогда как в Департаменте используется другая программа, при этом данные системы не интегрированы между собой. Сообщения с оценкой причинно-следственной связи, проводимой специалистами НЦФ (фтизиатрами), поступают по мере накопления в виде таблиц </w:t>
      </w:r>
      <w:proofErr w:type="spellStart"/>
      <w:r w:rsidR="007F723F" w:rsidRPr="007F723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7F723F" w:rsidRPr="007F723F">
        <w:rPr>
          <w:rFonts w:ascii="Times New Roman" w:hAnsi="Times New Roman" w:cs="Times New Roman"/>
          <w:sz w:val="28"/>
          <w:szCs w:val="28"/>
        </w:rPr>
        <w:t>. В связи с этим актуальным является вопрос интеграции указанных программ для обеспечения своевременного получения сообщений.</w:t>
      </w:r>
    </w:p>
    <w:p w14:paraId="0DF91B33" w14:textId="6D370967" w:rsidR="007F723F" w:rsidRDefault="007F723F" w:rsidP="007F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098BF" w14:textId="41A0B99E" w:rsidR="007F723F" w:rsidRDefault="007F723F" w:rsidP="007F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0BC98" w14:textId="77777777" w:rsidR="007F723F" w:rsidRDefault="007F723F" w:rsidP="007F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3EB0D" w14:textId="77777777" w:rsidR="007F723F" w:rsidRPr="007F723F" w:rsidRDefault="007F723F" w:rsidP="007F7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3969AE" w14:textId="77777777" w:rsidR="008F408C" w:rsidRPr="008F408C" w:rsidRDefault="008F408C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Анализ поступивших карт-сообщений</w:t>
      </w:r>
    </w:p>
    <w:p w14:paraId="1C97FF78" w14:textId="77777777" w:rsidR="008F408C" w:rsidRPr="008F408C" w:rsidRDefault="008F408C" w:rsidP="008F4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306E78" w14:textId="58D910F9" w:rsidR="008F408C" w:rsidRPr="008F408C" w:rsidRDefault="006A65F0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6D0F81" wp14:editId="64F882AE">
            <wp:extent cx="5895975" cy="1695451"/>
            <wp:effectExtent l="0" t="0" r="9525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0ABD32" w14:textId="22794482" w:rsidR="008F408C" w:rsidRDefault="008F408C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602A0" w14:textId="15DF6DF9" w:rsidR="007F723F" w:rsidRDefault="007F723F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8AA5A0" w14:textId="0DF12D41" w:rsidR="007F723F" w:rsidRDefault="007F723F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1BF99" w14:textId="59003822" w:rsidR="007F723F" w:rsidRDefault="007F723F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64B63" w14:textId="77777777" w:rsidR="007F723F" w:rsidRDefault="007F723F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BF32D9" w14:textId="77777777" w:rsidR="007F723F" w:rsidRPr="008F408C" w:rsidRDefault="007F723F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90B91" w14:textId="77777777" w:rsidR="008F408C" w:rsidRPr="008F408C" w:rsidRDefault="008F408C" w:rsidP="008F40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пациентов по полу</w:t>
      </w:r>
    </w:p>
    <w:p w14:paraId="3C0DA2CD" w14:textId="77777777" w:rsidR="008F408C" w:rsidRPr="008F408C" w:rsidRDefault="008F408C" w:rsidP="008F40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2B6651" w14:textId="615BB9BE" w:rsidR="008F408C" w:rsidRPr="008F408C" w:rsidRDefault="00DF08F3" w:rsidP="008F40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15CCA4B" wp14:editId="494B1B1B">
            <wp:extent cx="5864860" cy="196913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11516" w14:textId="77777777" w:rsidR="008F408C" w:rsidRDefault="008F408C" w:rsidP="00C44AA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C188AE" w14:textId="420E5BCA" w:rsidR="008F408C" w:rsidRDefault="008F408C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BE42DA0" w14:textId="3BB71EE1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2869B6" w14:textId="657560AD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30AADF4" w14:textId="2BC05311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C3F7C76" w14:textId="7A9660B4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608CF2D" w14:textId="4B00DFDE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B991E7D" w14:textId="3C338F41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CB7C461" w14:textId="40F5974D" w:rsidR="007F723F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BA4B8D" w14:textId="77777777" w:rsidR="007F723F" w:rsidRPr="008F408C" w:rsidRDefault="007F723F" w:rsidP="006A65F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AA5726C" w14:textId="77777777" w:rsidR="008F408C" w:rsidRPr="008F408C" w:rsidRDefault="008F408C" w:rsidP="008F4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карт-сообщений о побочных действиях </w:t>
      </w:r>
    </w:p>
    <w:p w14:paraId="482372C6" w14:textId="77777777" w:rsidR="008F408C" w:rsidRPr="008F408C" w:rsidRDefault="008F408C" w:rsidP="008F4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sz w:val="28"/>
          <w:szCs w:val="28"/>
        </w:rPr>
        <w:t>лекарственных средств по АТХ коду</w:t>
      </w:r>
    </w:p>
    <w:p w14:paraId="12F6F218" w14:textId="77777777" w:rsidR="008F408C" w:rsidRPr="008F408C" w:rsidRDefault="008F408C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</w:p>
    <w:p w14:paraId="26B2463B" w14:textId="2F158926" w:rsidR="008F408C" w:rsidRDefault="00DB0D22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05417926" wp14:editId="0E955C72">
            <wp:extent cx="5810250" cy="5562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5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D122A" w14:textId="77777777" w:rsidR="00603025" w:rsidRDefault="00603025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EE88BB" w14:textId="77777777" w:rsidR="008F408C" w:rsidRPr="008F408C" w:rsidRDefault="008F408C" w:rsidP="008F4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065F9" w14:textId="3BCA0376" w:rsidR="008F408C" w:rsidRDefault="008F408C" w:rsidP="008F4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Распределение пациентов по возрасту</w:t>
      </w:r>
    </w:p>
    <w:p w14:paraId="4FF39C09" w14:textId="77777777" w:rsidR="006A65F0" w:rsidRDefault="006A65F0" w:rsidP="008F4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66106" w14:textId="055CBE39" w:rsidR="00E82B9E" w:rsidRPr="008F408C" w:rsidRDefault="00E82B9E" w:rsidP="008F4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1FA46A8" wp14:editId="09756C7B">
            <wp:extent cx="5934075" cy="189547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C7CA12" w14:textId="77777777" w:rsidR="007F723F" w:rsidRDefault="008F408C" w:rsidP="007F72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40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5F629B0D" w14:textId="0BC2E494" w:rsidR="008F408C" w:rsidRPr="007F723F" w:rsidRDefault="008F408C" w:rsidP="007F723F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8F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Наиболее </w:t>
      </w:r>
      <w:proofErr w:type="spellStart"/>
      <w:r w:rsidRPr="008F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репортируемая</w:t>
      </w:r>
      <w:proofErr w:type="spellEnd"/>
      <w:r w:rsidRPr="008F4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нежелательная реакция</w:t>
      </w:r>
    </w:p>
    <w:p w14:paraId="64E3229A" w14:textId="77777777" w:rsidR="008F408C" w:rsidRPr="008F408C" w:rsidRDefault="008F408C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B368D3" w14:textId="2BC3D33A" w:rsidR="008F408C" w:rsidRPr="008F408C" w:rsidRDefault="00DA2000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28B215A" wp14:editId="7E8B45E5">
            <wp:extent cx="5934075" cy="3724275"/>
            <wp:effectExtent l="0" t="0" r="9525" b="9525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C962A9" w14:textId="77777777" w:rsidR="008F408C" w:rsidRPr="008F408C" w:rsidRDefault="008F408C" w:rsidP="008F40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49B993" w14:textId="77777777" w:rsidR="001808BB" w:rsidRDefault="001808BB" w:rsidP="008F40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461078E" w14:textId="77777777" w:rsidR="00243AEF" w:rsidRPr="001808BB" w:rsidRDefault="008F408C" w:rsidP="009A52E5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F40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08C">
        <w:rPr>
          <w:rFonts w:ascii="Times New Roman" w:hAnsi="Times New Roman" w:cs="Times New Roman"/>
          <w:b/>
          <w:sz w:val="28"/>
          <w:szCs w:val="28"/>
        </w:rPr>
        <w:t>Заведующ</w:t>
      </w:r>
      <w:proofErr w:type="spellEnd"/>
      <w:r w:rsidRPr="008F408C">
        <w:rPr>
          <w:rFonts w:ascii="Times New Roman" w:hAnsi="Times New Roman" w:cs="Times New Roman"/>
          <w:b/>
          <w:sz w:val="28"/>
          <w:szCs w:val="28"/>
          <w:lang w:val="ky-KG"/>
        </w:rPr>
        <w:t>ий</w:t>
      </w:r>
      <w:r w:rsidRPr="008F40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08C">
        <w:rPr>
          <w:rFonts w:ascii="Times New Roman" w:hAnsi="Times New Roman" w:cs="Times New Roman"/>
          <w:b/>
          <w:sz w:val="28"/>
          <w:szCs w:val="28"/>
        </w:rPr>
        <w:t>ОФиР</w:t>
      </w:r>
      <w:proofErr w:type="spellEnd"/>
      <w:r w:rsidRPr="008F408C">
        <w:rPr>
          <w:rFonts w:ascii="Times New Roman" w:hAnsi="Times New Roman" w:cs="Times New Roman"/>
          <w:b/>
          <w:sz w:val="28"/>
          <w:szCs w:val="28"/>
        </w:rPr>
        <w:tab/>
      </w:r>
      <w:r w:rsidRPr="008F408C">
        <w:rPr>
          <w:rFonts w:ascii="Times New Roman" w:hAnsi="Times New Roman" w:cs="Times New Roman"/>
          <w:b/>
          <w:sz w:val="28"/>
          <w:szCs w:val="28"/>
        </w:rPr>
        <w:tab/>
      </w:r>
      <w:r w:rsidRPr="008F408C">
        <w:rPr>
          <w:rFonts w:ascii="Times New Roman" w:hAnsi="Times New Roman" w:cs="Times New Roman"/>
          <w:b/>
          <w:sz w:val="28"/>
          <w:szCs w:val="28"/>
        </w:rPr>
        <w:tab/>
      </w:r>
      <w:r w:rsidRPr="008F408C">
        <w:rPr>
          <w:rFonts w:ascii="Times New Roman" w:hAnsi="Times New Roman" w:cs="Times New Roman"/>
          <w:b/>
          <w:sz w:val="28"/>
          <w:szCs w:val="28"/>
        </w:rPr>
        <w:tab/>
      </w:r>
      <w:r w:rsidRPr="008F40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Токтоналиев И.У.</w:t>
      </w:r>
    </w:p>
    <w:sectPr w:rsidR="00243AEF" w:rsidRPr="001808BB" w:rsidSect="00770426">
      <w:footerReference w:type="default" r:id="rId13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630DB" w14:textId="77777777" w:rsidR="00C060CD" w:rsidRDefault="00C060CD">
      <w:pPr>
        <w:spacing w:after="0" w:line="240" w:lineRule="auto"/>
      </w:pPr>
      <w:r>
        <w:separator/>
      </w:r>
    </w:p>
  </w:endnote>
  <w:endnote w:type="continuationSeparator" w:id="0">
    <w:p w14:paraId="6B50376F" w14:textId="77777777" w:rsidR="00C060CD" w:rsidRDefault="00C0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90A6" w14:textId="77777777" w:rsidR="00770426" w:rsidRDefault="00807F0B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7AC37" wp14:editId="15D6B517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49E840" w14:textId="77777777" w:rsidR="00770426" w:rsidRPr="009D758C" w:rsidRDefault="00807F0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7AC37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4GrgIAAFI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" filled="f" stroked="f" strokeweight=".5pt">
              <v:textbox style="layout-flow:vertical;mso-layout-flow-alt:bottom-to-top">
                <w:txbxContent>
                  <w:p w14:paraId="0C49E840" w14:textId="77777777" w:rsidR="00770426" w:rsidRPr="009D758C" w:rsidRDefault="00807F0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F79D" wp14:editId="0C412E16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6CC5A6" w14:textId="77777777" w:rsidR="00770426" w:rsidRPr="001051B0" w:rsidRDefault="00807F0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DF79D" id="Поле 2" o:spid="_x0000_s1027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" filled="f" stroked="f" strokeweight=".5pt">
              <v:textbox style="layout-flow:vertical;mso-layout-flow-alt:bottom-to-top">
                <w:txbxContent>
                  <w:p w14:paraId="116CC5A6" w14:textId="77777777" w:rsidR="00770426" w:rsidRPr="001051B0" w:rsidRDefault="00807F0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1B29F" wp14:editId="5F7E532E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2BB19" w14:textId="77777777" w:rsidR="00770426" w:rsidRPr="001051B0" w:rsidRDefault="00C060C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1B29F" id="Поле 1" o:spid="_x0000_s1028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7f6sQIAAFk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" filled="f" stroked="f" strokeweight=".5pt">
              <v:textbox style="layout-flow:vertical;mso-layout-flow-alt:bottom-to-top">
                <w:txbxContent>
                  <w:p w14:paraId="02C2BB19" w14:textId="77777777" w:rsidR="00770426" w:rsidRPr="001051B0" w:rsidRDefault="00D91B5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7306" w14:textId="77777777" w:rsidR="00C060CD" w:rsidRDefault="00C060CD">
      <w:pPr>
        <w:spacing w:after="0" w:line="240" w:lineRule="auto"/>
      </w:pPr>
      <w:r>
        <w:separator/>
      </w:r>
    </w:p>
  </w:footnote>
  <w:footnote w:type="continuationSeparator" w:id="0">
    <w:p w14:paraId="35EA6BCE" w14:textId="77777777" w:rsidR="00C060CD" w:rsidRDefault="00C0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B75"/>
    <w:multiLevelType w:val="hybridMultilevel"/>
    <w:tmpl w:val="005AEC20"/>
    <w:lvl w:ilvl="0" w:tplc="20000011">
      <w:start w:val="1"/>
      <w:numFmt w:val="decimal"/>
      <w:lvlText w:val="%1)"/>
      <w:lvlJc w:val="left"/>
      <w:pPr>
        <w:ind w:left="1515" w:hanging="360"/>
      </w:pPr>
    </w:lvl>
    <w:lvl w:ilvl="1" w:tplc="20000019" w:tentative="1">
      <w:start w:val="1"/>
      <w:numFmt w:val="lowerLetter"/>
      <w:lvlText w:val="%2."/>
      <w:lvlJc w:val="left"/>
      <w:pPr>
        <w:ind w:left="2235" w:hanging="360"/>
      </w:pPr>
    </w:lvl>
    <w:lvl w:ilvl="2" w:tplc="2000001B" w:tentative="1">
      <w:start w:val="1"/>
      <w:numFmt w:val="lowerRoman"/>
      <w:lvlText w:val="%3."/>
      <w:lvlJc w:val="right"/>
      <w:pPr>
        <w:ind w:left="2955" w:hanging="180"/>
      </w:pPr>
    </w:lvl>
    <w:lvl w:ilvl="3" w:tplc="2000000F" w:tentative="1">
      <w:start w:val="1"/>
      <w:numFmt w:val="decimal"/>
      <w:lvlText w:val="%4."/>
      <w:lvlJc w:val="left"/>
      <w:pPr>
        <w:ind w:left="3675" w:hanging="360"/>
      </w:pPr>
    </w:lvl>
    <w:lvl w:ilvl="4" w:tplc="20000019" w:tentative="1">
      <w:start w:val="1"/>
      <w:numFmt w:val="lowerLetter"/>
      <w:lvlText w:val="%5."/>
      <w:lvlJc w:val="left"/>
      <w:pPr>
        <w:ind w:left="4395" w:hanging="360"/>
      </w:pPr>
    </w:lvl>
    <w:lvl w:ilvl="5" w:tplc="2000001B" w:tentative="1">
      <w:start w:val="1"/>
      <w:numFmt w:val="lowerRoman"/>
      <w:lvlText w:val="%6."/>
      <w:lvlJc w:val="right"/>
      <w:pPr>
        <w:ind w:left="5115" w:hanging="180"/>
      </w:pPr>
    </w:lvl>
    <w:lvl w:ilvl="6" w:tplc="2000000F" w:tentative="1">
      <w:start w:val="1"/>
      <w:numFmt w:val="decimal"/>
      <w:lvlText w:val="%7."/>
      <w:lvlJc w:val="left"/>
      <w:pPr>
        <w:ind w:left="5835" w:hanging="360"/>
      </w:pPr>
    </w:lvl>
    <w:lvl w:ilvl="7" w:tplc="20000019" w:tentative="1">
      <w:start w:val="1"/>
      <w:numFmt w:val="lowerLetter"/>
      <w:lvlText w:val="%8."/>
      <w:lvlJc w:val="left"/>
      <w:pPr>
        <w:ind w:left="6555" w:hanging="360"/>
      </w:pPr>
    </w:lvl>
    <w:lvl w:ilvl="8" w:tplc="200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E951F00"/>
    <w:multiLevelType w:val="hybridMultilevel"/>
    <w:tmpl w:val="992E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2105"/>
    <w:multiLevelType w:val="hybridMultilevel"/>
    <w:tmpl w:val="53BA6642"/>
    <w:lvl w:ilvl="0" w:tplc="2000000F">
      <w:start w:val="1"/>
      <w:numFmt w:val="decimal"/>
      <w:lvlText w:val="%1."/>
      <w:lvlJc w:val="lef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C237EB2"/>
    <w:multiLevelType w:val="hybridMultilevel"/>
    <w:tmpl w:val="44D4EE34"/>
    <w:lvl w:ilvl="0" w:tplc="C68C6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7601"/>
    <w:multiLevelType w:val="hybridMultilevel"/>
    <w:tmpl w:val="4744868A"/>
    <w:lvl w:ilvl="0" w:tplc="DA0480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DA2E99"/>
    <w:multiLevelType w:val="hybridMultilevel"/>
    <w:tmpl w:val="9F864A6A"/>
    <w:lvl w:ilvl="0" w:tplc="200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361F057F"/>
    <w:multiLevelType w:val="hybridMultilevel"/>
    <w:tmpl w:val="18943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3C84"/>
    <w:multiLevelType w:val="hybridMultilevel"/>
    <w:tmpl w:val="807C7346"/>
    <w:lvl w:ilvl="0" w:tplc="A2D8E1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AA1C1C"/>
    <w:multiLevelType w:val="hybridMultilevel"/>
    <w:tmpl w:val="3B6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8C"/>
    <w:rsid w:val="00053490"/>
    <w:rsid w:val="000D5B6E"/>
    <w:rsid w:val="000F6743"/>
    <w:rsid w:val="001808BB"/>
    <w:rsid w:val="00187087"/>
    <w:rsid w:val="001B4AA6"/>
    <w:rsid w:val="00243AEF"/>
    <w:rsid w:val="00252434"/>
    <w:rsid w:val="00263FDF"/>
    <w:rsid w:val="0026559E"/>
    <w:rsid w:val="00284F2F"/>
    <w:rsid w:val="002D1453"/>
    <w:rsid w:val="002E7FBC"/>
    <w:rsid w:val="00323A94"/>
    <w:rsid w:val="003626AD"/>
    <w:rsid w:val="003628B1"/>
    <w:rsid w:val="00380418"/>
    <w:rsid w:val="003855EA"/>
    <w:rsid w:val="003B6822"/>
    <w:rsid w:val="003F73C4"/>
    <w:rsid w:val="0042078D"/>
    <w:rsid w:val="004C6AAD"/>
    <w:rsid w:val="004D2CA4"/>
    <w:rsid w:val="004E1FD1"/>
    <w:rsid w:val="004F131C"/>
    <w:rsid w:val="00521F35"/>
    <w:rsid w:val="0053045B"/>
    <w:rsid w:val="005910A9"/>
    <w:rsid w:val="00603025"/>
    <w:rsid w:val="00647CAC"/>
    <w:rsid w:val="006A65F0"/>
    <w:rsid w:val="006D7B34"/>
    <w:rsid w:val="007176D4"/>
    <w:rsid w:val="00745F4F"/>
    <w:rsid w:val="007C5F43"/>
    <w:rsid w:val="007E6619"/>
    <w:rsid w:val="007F723F"/>
    <w:rsid w:val="00807F0B"/>
    <w:rsid w:val="00827344"/>
    <w:rsid w:val="008D1584"/>
    <w:rsid w:val="008F408C"/>
    <w:rsid w:val="00914B6C"/>
    <w:rsid w:val="00947015"/>
    <w:rsid w:val="009A52E5"/>
    <w:rsid w:val="009C01A6"/>
    <w:rsid w:val="009F38A3"/>
    <w:rsid w:val="00A02260"/>
    <w:rsid w:val="00A23B5A"/>
    <w:rsid w:val="00A557E2"/>
    <w:rsid w:val="00A65D63"/>
    <w:rsid w:val="00AA404B"/>
    <w:rsid w:val="00AB3490"/>
    <w:rsid w:val="00AB4AAB"/>
    <w:rsid w:val="00B266D0"/>
    <w:rsid w:val="00BD129A"/>
    <w:rsid w:val="00BD263A"/>
    <w:rsid w:val="00C060CD"/>
    <w:rsid w:val="00C44AAB"/>
    <w:rsid w:val="00C93546"/>
    <w:rsid w:val="00CD667B"/>
    <w:rsid w:val="00D00B16"/>
    <w:rsid w:val="00D341E6"/>
    <w:rsid w:val="00D455E2"/>
    <w:rsid w:val="00D91B53"/>
    <w:rsid w:val="00DA2000"/>
    <w:rsid w:val="00DB0D22"/>
    <w:rsid w:val="00DF08F3"/>
    <w:rsid w:val="00E10581"/>
    <w:rsid w:val="00E82B9E"/>
    <w:rsid w:val="00F5559A"/>
    <w:rsid w:val="00F74B91"/>
    <w:rsid w:val="00FB3739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7015"/>
  <w15:chartTrackingRefBased/>
  <w15:docId w15:val="{37B460AD-F319-4BA4-B02A-EE45E5DB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F4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F408C"/>
    <w:rPr>
      <w:lang w:val="ru-RU"/>
    </w:rPr>
  </w:style>
  <w:style w:type="table" w:styleId="a5">
    <w:name w:val="Table Grid"/>
    <w:basedOn w:val="a1"/>
    <w:uiPriority w:val="39"/>
    <w:rsid w:val="008F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8A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4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45F4F"/>
    <w:rPr>
      <w:b/>
      <w:bCs/>
    </w:rPr>
  </w:style>
  <w:style w:type="character" w:styleId="aa">
    <w:name w:val="Emphasis"/>
    <w:basedOn w:val="a0"/>
    <w:uiPriority w:val="20"/>
    <w:qFormat/>
    <w:rsid w:val="00F74B91"/>
    <w:rPr>
      <w:i/>
      <w:iCs/>
    </w:rPr>
  </w:style>
  <w:style w:type="character" w:styleId="ab">
    <w:name w:val="Hyperlink"/>
    <w:basedOn w:val="a0"/>
    <w:uiPriority w:val="99"/>
    <w:semiHidden/>
    <w:unhideWhenUsed/>
    <w:rsid w:val="00717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VigiLyze%20overview%20(3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VigiLyze%20overview%20(3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VigiLyze%20overview%20(3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Квалификация</a:t>
            </a:r>
            <a:r>
              <a:rPr lang="ru-RU" baseline="0"/>
              <a:t> репортера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'Reporter qualification'!$A$2:$A$5</c:f>
              <c:strCache>
                <c:ptCount val="4"/>
                <c:pt idx="0">
                  <c:v>Врач</c:v>
                </c:pt>
                <c:pt idx="1">
                  <c:v>Другой медицинский работник</c:v>
                </c:pt>
                <c:pt idx="2">
                  <c:v>Потребитель/Непрофессионал в области здравоохранения</c:v>
                </c:pt>
                <c:pt idx="3">
                  <c:v>Неизвестный</c:v>
                </c:pt>
              </c:strCache>
            </c:strRef>
          </c:cat>
          <c:val>
            <c:numRef>
              <c:f>'Reporter qualification'!$C$2:$C$5</c:f>
              <c:numCache>
                <c:formatCode>#0.0%</c:formatCode>
                <c:ptCount val="4"/>
                <c:pt idx="0">
                  <c:v>0.7654545454545455</c:v>
                </c:pt>
                <c:pt idx="1">
                  <c:v>5.8181818181818182E-2</c:v>
                </c:pt>
                <c:pt idx="2">
                  <c:v>1.8181818181818181E-2</c:v>
                </c:pt>
                <c:pt idx="3">
                  <c:v>0.15818181818181817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13-4571-AEDE-E9297FDEE0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ru-RU" sz="1080" b="1" i="0" u="none" strike="noStrike" baseline="0">
                <a:effectLst/>
              </a:rPr>
              <a:t>Возраст пациента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'Patient age'!$A$2:$A$10</c:f>
              <c:strCache>
                <c:ptCount val="9"/>
                <c:pt idx="0">
                  <c:v>0 - 27 дней</c:v>
                </c:pt>
                <c:pt idx="1">
                  <c:v>от 28 дней до 23 месяцев</c:v>
                </c:pt>
                <c:pt idx="2">
                  <c:v>от 2 до 11 лет</c:v>
                </c:pt>
                <c:pt idx="3">
                  <c:v>12 - 17 лет</c:v>
                </c:pt>
                <c:pt idx="4">
                  <c:v>18 - 44 года</c:v>
                </c:pt>
                <c:pt idx="5">
                  <c:v>45 - 64 года</c:v>
                </c:pt>
                <c:pt idx="6">
                  <c:v>65 - 74 года</c:v>
                </c:pt>
                <c:pt idx="7">
                  <c:v>≥ 75 лет</c:v>
                </c:pt>
                <c:pt idx="8">
                  <c:v>Неизвестный</c:v>
                </c:pt>
              </c:strCache>
            </c:strRef>
          </c:cat>
          <c:val>
            <c:numRef>
              <c:f>'Patient age'!$C$2:$C$10</c:f>
              <c:numCache>
                <c:formatCode>#0.0%</c:formatCode>
                <c:ptCount val="9"/>
                <c:pt idx="0">
                  <c:v>3.6363636363636364E-3</c:v>
                </c:pt>
                <c:pt idx="1">
                  <c:v>0.12363636363636364</c:v>
                </c:pt>
                <c:pt idx="2">
                  <c:v>5.4545454545454543E-2</c:v>
                </c:pt>
                <c:pt idx="3">
                  <c:v>1.6363636363636365E-2</c:v>
                </c:pt>
                <c:pt idx="4">
                  <c:v>0.22545454545454546</c:v>
                </c:pt>
                <c:pt idx="5">
                  <c:v>0.26727272727272727</c:v>
                </c:pt>
                <c:pt idx="6">
                  <c:v>0.15090909090909091</c:v>
                </c:pt>
                <c:pt idx="7">
                  <c:v>0.10363636363636364</c:v>
                </c:pt>
                <c:pt idx="8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52-4047-B22F-C8C71E3206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Reaction!$A$2:$A$21</c:f>
              <c:strCache>
                <c:ptCount val="20"/>
                <c:pt idx="0">
                  <c:v>SOC: Желудочно-кишечные нарушения</c:v>
                </c:pt>
                <c:pt idx="1">
                  <c:v>SOC: Инфекции и инвазии</c:v>
                </c:pt>
                <c:pt idx="2">
                  <c:v>SOC: Лабораторные и инструментальные данные</c:v>
                </c:pt>
                <c:pt idx="3">
                  <c:v>SOC: Нарушения метаболизма и питания</c:v>
                </c:pt>
                <c:pt idx="4">
                  <c:v>SOC: Нарушения со стороны дыхательной системы, органов грудной клетки и средостения</c:v>
                </c:pt>
                <c:pt idx="5">
                  <c:v>SOC: Нарушения со стороны иммунной системы</c:v>
                </c:pt>
                <c:pt idx="6">
                  <c:v>SOC: Нарушения со стороны кожи и подкожной клетчатки</c:v>
                </c:pt>
                <c:pt idx="7">
                  <c:v>SOC: Нарушения со стороны крови и лимфатической системы</c:v>
                </c:pt>
                <c:pt idx="8">
                  <c:v>SOC: Нарушения со стороны мышечной, скелетной и соединительной ткани</c:v>
                </c:pt>
                <c:pt idx="9">
                  <c:v>SOC: Нарушения со стороны нервной системы</c:v>
                </c:pt>
                <c:pt idx="10">
                  <c:v>SOC: Нарушения со стороны органа зрения</c:v>
                </c:pt>
                <c:pt idx="11">
                  <c:v>SOC: Нарушения со стороны органа слуха и лабиринта</c:v>
                </c:pt>
                <c:pt idx="12">
                  <c:v>SOC: Нарушения со стороны печени и желчевыводящих путей</c:v>
                </c:pt>
                <c:pt idx="13">
                  <c:v>SOC: Нарушения со стороны репродуктивной системы и молочных желез</c:v>
                </c:pt>
                <c:pt idx="14">
                  <c:v>SOC: Нарушения со стороны сердца</c:v>
                </c:pt>
                <c:pt idx="15">
                  <c:v>SOC: Нарушения со стороны сосудов</c:v>
                </c:pt>
                <c:pt idx="16">
                  <c:v>SOC: Общие нарушения и реакции в месте введения</c:v>
                </c:pt>
                <c:pt idx="17">
                  <c:v>SOC: Проблемы с продуктом</c:v>
                </c:pt>
                <c:pt idx="18">
                  <c:v>SOC: Психические расстройства</c:v>
                </c:pt>
                <c:pt idx="19">
                  <c:v>SOC: Травмы, интоксикации и осложнения процедур</c:v>
                </c:pt>
              </c:strCache>
            </c:strRef>
          </c:cat>
          <c:val>
            <c:numRef>
              <c:f>Reaction!$C$2:$C$21</c:f>
              <c:numCache>
                <c:formatCode>#0.0%</c:formatCode>
                <c:ptCount val="20"/>
                <c:pt idx="0">
                  <c:v>0.10545454545454545</c:v>
                </c:pt>
                <c:pt idx="1">
                  <c:v>0.04</c:v>
                </c:pt>
                <c:pt idx="2">
                  <c:v>0.17818181818181819</c:v>
                </c:pt>
                <c:pt idx="3">
                  <c:v>2.3636363636363636E-2</c:v>
                </c:pt>
                <c:pt idx="4">
                  <c:v>1.6363636363636365E-2</c:v>
                </c:pt>
                <c:pt idx="5">
                  <c:v>3.8181818181818185E-2</c:v>
                </c:pt>
                <c:pt idx="6">
                  <c:v>8.1818181818181818E-2</c:v>
                </c:pt>
                <c:pt idx="7">
                  <c:v>5.8181818181818182E-2</c:v>
                </c:pt>
                <c:pt idx="8">
                  <c:v>0.10181818181818182</c:v>
                </c:pt>
                <c:pt idx="9">
                  <c:v>4.1818181818181817E-2</c:v>
                </c:pt>
                <c:pt idx="10">
                  <c:v>7.2727272727272727E-3</c:v>
                </c:pt>
                <c:pt idx="11">
                  <c:v>3.6363636363636364E-3</c:v>
                </c:pt>
                <c:pt idx="12">
                  <c:v>1.2727272727272728E-2</c:v>
                </c:pt>
                <c:pt idx="13">
                  <c:v>3.6363636363636364E-3</c:v>
                </c:pt>
                <c:pt idx="14">
                  <c:v>9.0909090909090905E-3</c:v>
                </c:pt>
                <c:pt idx="15">
                  <c:v>2.3636363636363636E-2</c:v>
                </c:pt>
                <c:pt idx="16">
                  <c:v>0.37454545454545457</c:v>
                </c:pt>
                <c:pt idx="17">
                  <c:v>3.6363636363636364E-3</c:v>
                </c:pt>
                <c:pt idx="18">
                  <c:v>9.0909090909090905E-3</c:v>
                </c:pt>
                <c:pt idx="19">
                  <c:v>1.4545454545454545E-2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8C-4E71-B4CE-C989A7332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8C96-9392-418B-9567-41ED8D71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Бурулсун Калыбекова</dc:creator>
  <cp:keywords/>
  <dc:description/>
  <cp:lastModifiedBy>User</cp:lastModifiedBy>
  <cp:revision>2</cp:revision>
  <cp:lastPrinted>2025-12-02T08:42:00Z</cp:lastPrinted>
  <dcterms:created xsi:type="dcterms:W3CDTF">2026-01-26T05:26:00Z</dcterms:created>
  <dcterms:modified xsi:type="dcterms:W3CDTF">2026-01-26T05:26:00Z</dcterms:modified>
</cp:coreProperties>
</file>